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rPr>
          <w:rFonts w:hint="default"/>
        </w:rPr>
      </w:pP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省级农业高新技术产业开发区建设发展规划</w:t>
      </w: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编写提纲</w:t>
      </w:r>
    </w:p>
    <w:p>
      <w:pPr>
        <w:topLinePunct/>
        <w:ind w:firstLine="616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一、建设意义与必要性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二、现有基础和发展环境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三、建设思路和目标定位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四、空间布局与功能规划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五、主要任务与预期目标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六、组织管理与运行机制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七、投资估算、资金筹措与效益分析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八、建设进度与安排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numPr>
          <w:ilvl w:val="0"/>
          <w:numId w:val="1"/>
        </w:num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配套政策与保障措施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0D6530"/>
    <w:multiLevelType w:val="singleLevel"/>
    <w:tmpl w:val="EB0D6530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D38C3"/>
    <w:rsid w:val="244D38C3"/>
    <w:rsid w:val="6D04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/>
      <w:jc w:val="left"/>
    </w:pPr>
    <w:rPr>
      <w:rFonts w:eastAsia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2021-10-12T11:18:00Z</dcterms:created>
  <dc:creator>10795</dc:creator>
  <cp:lastModifiedBy>10795</cp:lastModifiedBy>
  <dcterms:modified xsi:type="dcterms:W3CDTF">2021-10-12T11:18:50Z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5A7E7CB741F9467DA5CB2B60524EA069</vt:lpwstr>
  </property>
</Properties>
</file>