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财务审计报告和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规范性法律意见书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出具机构资格要求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一、</w:t>
      </w:r>
      <w:r>
        <w:rPr>
          <w:rFonts w:hint="eastAsia" w:ascii="仿宋_GB2312" w:eastAsia="仿宋_GB2312"/>
          <w:sz w:val="32"/>
          <w:szCs w:val="32"/>
        </w:rPr>
        <w:t>企业申报材料应包含符合一定标准的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会计师</w:t>
      </w:r>
      <w:r>
        <w:rPr>
          <w:rFonts w:hint="eastAsia" w:ascii="仿宋_GB2312" w:eastAsia="仿宋_GB2312"/>
          <w:sz w:val="32"/>
          <w:szCs w:val="32"/>
        </w:rPr>
        <w:t>事务所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出具的企业</w:t>
      </w:r>
      <w:r>
        <w:rPr>
          <w:rFonts w:ascii="仿宋_GB2312" w:eastAsia="仿宋_GB2312"/>
          <w:sz w:val="32"/>
          <w:szCs w:val="32"/>
        </w:rPr>
        <w:t>近三年</w:t>
      </w:r>
      <w:r>
        <w:rPr>
          <w:rFonts w:hint="eastAsia" w:ascii="仿宋_GB2312" w:eastAsia="仿宋_GB2312"/>
          <w:sz w:val="32"/>
          <w:szCs w:val="32"/>
        </w:rPr>
        <w:t>一期</w:t>
      </w:r>
      <w:r>
        <w:rPr>
          <w:rFonts w:ascii="仿宋_GB2312" w:eastAsia="仿宋_GB2312"/>
          <w:sz w:val="32"/>
          <w:szCs w:val="32"/>
        </w:rPr>
        <w:t>财务审计报告，不足三年的可按实际提报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default" w:ascii="仿宋_GB2312" w:eastAsia="仿宋_GB2312"/>
          <w:sz w:val="32"/>
          <w:szCs w:val="32"/>
        </w:rPr>
        <w:t>会计师事务所标准参考如下：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</w:t>
      </w:r>
      <w:r>
        <w:rPr>
          <w:rFonts w:hint="default" w:ascii="仿宋_GB2312" w:eastAsia="仿宋_GB2312"/>
          <w:sz w:val="32"/>
          <w:szCs w:val="32"/>
        </w:rPr>
        <w:t>承接主体或其总所最近</w:t>
      </w:r>
      <w:r>
        <w:rPr>
          <w:rFonts w:hint="eastAsia" w:ascii="仿宋_GB2312" w:eastAsia="仿宋_GB2312"/>
          <w:sz w:val="32"/>
          <w:szCs w:val="32"/>
          <w:lang w:eastAsia="zh-CN"/>
        </w:rPr>
        <w:t>5</w:t>
      </w:r>
      <w:r>
        <w:rPr>
          <w:rFonts w:hint="default" w:ascii="仿宋_GB2312" w:eastAsia="仿宋_GB2312"/>
          <w:sz w:val="32"/>
          <w:szCs w:val="32"/>
        </w:rPr>
        <w:t>年承接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default" w:ascii="仿宋_GB2312" w:eastAsia="仿宋_GB2312"/>
          <w:sz w:val="32"/>
          <w:szCs w:val="32"/>
        </w:rPr>
        <w:t>家新三板挂牌或2家I</w:t>
      </w:r>
      <w:r>
        <w:rPr>
          <w:rFonts w:ascii="仿宋_GB2312" w:eastAsia="仿宋_GB2312"/>
          <w:sz w:val="32"/>
          <w:szCs w:val="32"/>
        </w:rPr>
        <w:t>PO</w:t>
      </w:r>
      <w:r>
        <w:rPr>
          <w:rFonts w:hint="default" w:ascii="仿宋_GB2312" w:eastAsia="仿宋_GB2312"/>
          <w:sz w:val="32"/>
          <w:szCs w:val="32"/>
        </w:rPr>
        <w:t>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</w:t>
      </w:r>
      <w:r>
        <w:rPr>
          <w:rFonts w:hint="default" w:ascii="仿宋_GB2312" w:eastAsia="仿宋_GB2312"/>
          <w:sz w:val="32"/>
          <w:szCs w:val="32"/>
        </w:rPr>
        <w:t>近三年内无重大违法记录，无法律纠纷，没有受到财政部、证监会等监管部门的行政处罚；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5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（三）</w:t>
      </w:r>
      <w:r>
        <w:rPr>
          <w:rFonts w:hint="default" w:ascii="仿宋_GB2312" w:eastAsia="仿宋_GB2312"/>
          <w:sz w:val="32"/>
          <w:szCs w:val="32"/>
        </w:rPr>
        <w:t>注册会计师数量在</w:t>
      </w:r>
      <w:r>
        <w:rPr>
          <w:rFonts w:ascii="仿宋_GB2312" w:eastAsia="仿宋_GB2312"/>
          <w:sz w:val="32"/>
          <w:szCs w:val="32"/>
        </w:rPr>
        <w:t>30人以上</w:t>
      </w:r>
      <w:r>
        <w:rPr>
          <w:rFonts w:hint="default" w:ascii="仿宋_GB2312" w:eastAsia="仿宋_GB2312"/>
          <w:sz w:val="32"/>
          <w:szCs w:val="32"/>
          <w:lang w:eastAsia="zh-CN"/>
        </w:rPr>
        <w:t>，</w:t>
      </w:r>
      <w:r>
        <w:rPr>
          <w:rFonts w:hint="default" w:ascii="仿宋_GB2312" w:eastAsia="仿宋_GB2312"/>
          <w:sz w:val="32"/>
          <w:szCs w:val="32"/>
        </w:rPr>
        <w:t>具备证券、期货、基金从业资格证的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会计师</w:t>
      </w:r>
      <w:r>
        <w:rPr>
          <w:rFonts w:hint="default" w:ascii="仿宋_GB2312" w:eastAsia="仿宋_GB2312"/>
          <w:sz w:val="32"/>
          <w:szCs w:val="32"/>
        </w:rPr>
        <w:t>在10人以上</w:t>
      </w:r>
      <w:r>
        <w:rPr>
          <w:rFonts w:hint="default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</w:t>
      </w:r>
      <w:r>
        <w:rPr>
          <w:rFonts w:hint="eastAsia" w:ascii="仿宋_GB2312" w:eastAsia="仿宋_GB2312"/>
          <w:sz w:val="32"/>
          <w:szCs w:val="32"/>
        </w:rPr>
        <w:t>企业申报材料应包含符合一定标准的律师事务所出具的企业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规范性法律意见书</w:t>
      </w:r>
      <w:r>
        <w:rPr>
          <w:rFonts w:hint="eastAsia" w:ascii="仿宋_GB2312" w:eastAsia="仿宋_GB2312"/>
          <w:sz w:val="32"/>
          <w:szCs w:val="32"/>
        </w:rPr>
        <w:t>。律师事务所标准参考如下：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sz w:val="32"/>
          <w:szCs w:val="32"/>
        </w:rPr>
        <w:t>承接主体或其总所最近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年承接3家新三板挂牌或2家IPO项目；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近三年内无重大违法记录，无法律纠纷，没有受到财政部、证监会等监管部门的行政处罚；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eastAsia="仿宋_GB2312"/>
          <w:sz w:val="32"/>
          <w:szCs w:val="32"/>
        </w:rPr>
        <w:t>律师数量在30人以上，具备证券、期货、基金从业资格证的律师在10人以上。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874271"/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rFonts w:hint="eastAsia" w:ascii="宋体" w:hAnsi="宋体" w:eastAsia="宋体" w:cs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 w:cs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8"/>
            <w:szCs w:val="28"/>
          </w:rPr>
          <w:fldChar w:fldCharType="separate"/>
        </w:r>
        <w:r>
          <w:rPr>
            <w:rFonts w:ascii="宋体" w:hAnsi="宋体" w:eastAsia="宋体" w:cs="宋体"/>
            <w:sz w:val="28"/>
            <w:szCs w:val="28"/>
            <w:lang w:val="zh-CN"/>
          </w:rPr>
          <w:t>-</w:t>
        </w:r>
        <w:r>
          <w:rPr>
            <w:rFonts w:ascii="宋体" w:hAnsi="宋体" w:eastAsia="宋体" w:cs="宋体"/>
            <w:sz w:val="28"/>
            <w:szCs w:val="28"/>
          </w:rPr>
          <w:t xml:space="preserve"> 1 -</w:t>
        </w:r>
        <w:r>
          <w:rPr>
            <w:rFonts w:hint="eastAsia" w:ascii="宋体" w:hAnsi="宋体" w:eastAsia="宋体" w:cs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E57947"/>
    <w:rsid w:val="17B92CA6"/>
    <w:rsid w:val="336344C2"/>
    <w:rsid w:val="40333F0F"/>
    <w:rsid w:val="7769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